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spacing w:line="560" w:lineRule="exact"/>
        <w:jc w:val="both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宋体" w:eastAsia="黑体" w:cs="宋体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center" w:pos="4535"/>
          <w:tab w:val="right" w:pos="90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铜鼓县人民政府办公室</w:t>
      </w:r>
    </w:p>
    <w:p>
      <w:pPr>
        <w:widowControl/>
        <w:shd w:val="clear" w:color="auto" w:fill="FFFFFF"/>
        <w:kinsoku/>
        <w:autoSpaceDE/>
        <w:autoSpaceDN/>
        <w:adjustRightInd/>
        <w:snapToGrid/>
        <w:spacing w:line="42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</w:t>
      </w:r>
      <w:r>
        <w:rPr>
          <w:rFonts w:hint="eastAsia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铜鼓县城市绿线管理办法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各乡（镇）人民政府，县政府各部门,县直各单位：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经县政府研究同意，现将《铜鼓县城市绿线管理办法》印发给你们，请认真抓好贯彻执行。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2023年9月2日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overflowPunct w:val="0"/>
        <w:adjustRightInd w:val="0"/>
        <w:snapToGrid w:val="0"/>
        <w:spacing w:line="600" w:lineRule="exact"/>
        <w:jc w:val="center"/>
        <w:textAlignment w:val="baseline"/>
        <w:rPr>
          <w:rFonts w:hint="eastAsia" w:eastAsia="方正小标宋简体"/>
          <w:bCs/>
          <w:color w:val="000000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kinsoku/>
        <w:autoSpaceDE/>
        <w:autoSpaceDN/>
        <w:adjustRightInd/>
        <w:snapToGrid/>
        <w:spacing w:line="420" w:lineRule="atLeast"/>
        <w:jc w:val="center"/>
        <w:textAlignment w:val="auto"/>
        <w:rPr>
          <w:rFonts w:hint="eastAsia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sectPr>
          <w:pgSz w:w="11910" w:h="16840"/>
          <w:pgMar w:top="1431" w:right="1417" w:bottom="1156" w:left="1417" w:header="0" w:footer="977" w:gutter="0"/>
          <w:pgNumType w:fmt="decimal"/>
          <w:cols w:space="720" w:num="1"/>
        </w:sectPr>
      </w:pPr>
    </w:p>
    <w:p>
      <w:pPr>
        <w:widowControl/>
        <w:shd w:val="clear" w:color="auto" w:fill="FFFFFF"/>
        <w:kinsoku/>
        <w:autoSpaceDE/>
        <w:autoSpaceDN/>
        <w:adjustRightInd/>
        <w:snapToGrid/>
        <w:spacing w:line="420" w:lineRule="atLeast"/>
        <w:jc w:val="center"/>
        <w:textAlignment w:val="auto"/>
        <w:rPr>
          <w:rFonts w:hint="eastAsia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/>
          <w:color w:val="000000"/>
          <w:kern w:val="2"/>
          <w:sz w:val="44"/>
          <w:szCs w:val="44"/>
          <w:lang w:val="en-US" w:eastAsia="zh-CN" w:bidi="ar-SA"/>
        </w:rPr>
        <w:t>铜鼓县城市绿线管理办法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一</w:t>
      </w: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为加强城市绿线管理，改善城市生态和人居环境，促进城市可持续发展，根据《中华人民共和国城乡规划法》（中华人民共和国主席令第74号）、《城市绿化条例》（国务院令第100号）、《城市绿线管理办法》（中华人民共和国建设部令第112号）、《宜春市城市绿线管理办法》（宜府办字﹝2022﹞4号）等规定，结合本县实际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第二条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本办法所称城市绿线，是指城市各类绿地范围的控制界线，包括现状绿线、规划绿线和生态控制线。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现状绿线，指建设用地内已建成，并纳入法定规划的各类绿地控制线；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规划绿线，指建设用地内依据国土空间总体规划、城市绿地系统规划、控制性详细规划、修建性详细规划划定的各类绿地范围控制线；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生态控制线，指规划区内依据国土空间总体规划、城市绿地系统规划划定的，对城市生态保育、隔离防护、休闲游憩等有重要作用的生态区域控制线。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第三条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本办法适用于本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城市规划区内城市绿线的划定、监督和管理。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第四条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县城管局会同县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负责本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城市绿线的划定、监督和管理工作。政府其他有关部门依照各自职责，协助做好城市绿线的监督和管理工作。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第五条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城市绿线划定应当遵循保护自然生态、均衡绿地布局、协调城市建设、发挥绿地效应的原则。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sectPr>
          <w:footerReference r:id="rId5" w:type="default"/>
          <w:pgSz w:w="11910" w:h="16840"/>
          <w:pgMar w:top="1431" w:right="1417" w:bottom="1156" w:left="1417" w:header="0" w:footer="977" w:gutter="0"/>
          <w:pgNumType w:fmt="decimal" w:start="1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Times New Roman" w:hAnsi="Times New Roman" w:eastAsia="仿宋_GB2312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城市绿线由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局会同县城管局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根据《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铜鼓县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国土空间总体规划》《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铜鼓县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城市绿地系统规划》和控制性详细规划、修建性详细规划予以划定。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第七条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下列区域应划定城市绿线：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（一）现有的和规划确定的公园绿地、防护绿地、广场用地、附属绿地、区域绿地；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（二）城市规划区内的河流、湖泊、水塘、湿地和山体等城市生态控制区域；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（三）城市规划区内的风景名胜区、散生林植被、古树名木规定的保护范围等；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（四）其他对城市生态和景观产生积极作用的区域。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Times New Roman" w:hAnsi="Times New Roman" w:eastAsia="仿宋_GB2312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城市规划区内新建工程项目的用地选址，必须符合城市规划区绿地系统规划的要求。新建工程项目选址内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涉及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不宜建设的山体，应由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采用绿线管控的方式进行规划管理。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第九条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经批准的城市绿线，任何单位和个人不得擅自调整；有下列情形之一的，可由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会同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等部门组织论证后进行调整：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（一）因国土空间总体规划修编对绿地布局进行调整的；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（二）因市政基础设施、公共设施建设需要调整的；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（三）其他确需调整的情形。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城市绿线调整应当遵循绿地总量平衡的原则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调整公园绿地、防护绿地的，应当落实新的同类绿地。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spacing w:val="-6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第十条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批准的城市绿线应向社会公布，接受公众监督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任</w:t>
      </w:r>
      <w:r>
        <w:rPr>
          <w:rFonts w:ascii="Times New Roman" w:hAnsi="Times New Roman" w:eastAsia="仿宋_GB2312" w:cs="Times New Roman"/>
          <w:snapToGrid/>
          <w:color w:val="000000"/>
          <w:spacing w:val="-6"/>
          <w:kern w:val="2"/>
          <w:sz w:val="32"/>
          <w:szCs w:val="32"/>
          <w:lang w:val="en-US" w:eastAsia="zh-CN" w:bidi="ar-SA"/>
        </w:rPr>
        <w:t>何单位和个人都有保护城市绿地、服从城市绿线管理的义务，有监督城市绿线管理、对违反城市绿线管理行为进行检举的权利。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第十一条 </w:t>
      </w:r>
      <w:r>
        <w:rPr>
          <w:rFonts w:hint="eastAsia" w:ascii="Times New Roman" w:hAnsi="Times New Roman" w:eastAsia="仿宋_GB2312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线范围内的用地，任何单位和个人不得改作他用，不得进行经营性开发建设。因特殊情况需要改变绿地规划和绿地性质的，应报经原批准机关重新审核，报上一级机关审批，并严格按规定程序办理审批手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需临时占用城市绿线范围内用地的，须经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批准，依法办理相关审批手续。临时占用期满应按规定期限恢复原状，并报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验收。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在城市绿线范围内，不符合规划要求的建筑物、构筑物及其他设施应当限期迁出或拆除。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第十二条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任何单位和个人不得在城市绿地范围内进行拦河截溪、取土采石、设置垃圾堆场、排放污水以及其他对生态环境构成破坏的活动。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第十三条</w:t>
      </w:r>
      <w:r>
        <w:rPr>
          <w:rFonts w:hint="eastAsia" w:ascii="Times New Roman" w:hAnsi="Times New Roman" w:eastAsia="仿宋_GB2312" w:cs="Times New Roman"/>
          <w:b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城市规划区内所有新建、改建、扩建的建设项目在办理建设用地或建设工程审批时，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应当按照《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铜鼓县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城市绿化管理规定》中的有关绿地率标准界定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项目绿化标准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，并按《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铜鼓县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城市绿化管理规定》中的有关审批程序办理审批手续，否则，建设单位不得开工建设。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第十四条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建设项目附属绿化工程应当与主体工程同步规划，同步设计并按期施工，完成绿化的时间不得迟于主体工程竣工后的第一个绿化季节。附属绿化工程竣工后由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验收，凡验收不合格或未按绿化规划和绿化标准建设绿地的，对该工程不得办理园林绿化验收手续。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第十五条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建设工程必须按照批准的附属绿化工程设计方案建设绿地，不得擅自减少绿化面积和变更绿化设计。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b/>
          <w:bCs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第十六条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城市绿线范围内的公园绿地、防护绿地、广场用地、附属绿地，必须按照《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国土空间调查、规划、用途管制用地用海分类指南（试行）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》《城市绿线划定技术规范》《公园设计规范》《城市居住区规划设计标准》和《城市道路绿化规范与设计规范》等标准进行绿地建设和管理。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第十七条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各类现状绿线应设立现状绿线永久公示牌和界桩，公布绿线边界、绿地面积、管理主体等内容。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第十八条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城市绿线范围的地上、地下空间内的各种管线或设施建设，由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根据有关技术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标准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提出管制要求，保证栽植树木的生长空间。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第十九条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 城市绿线应纳入“多规平台”，及时、准确地获取城市绿地资源现状及其变化情况，实现城市绿线的动态监测与管理。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第二十条 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应当按照各自职责，定期对城市绿线的管理情况进行监督检查，对违法行为及时纠正，并向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人民政府和上级主管部门报告。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第二十一条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违反本办法有关规定的，依照有关法律法规予以处罚。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第二十二条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自然资源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县城管局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等主管部门的工作人员在绿线管理工作中玩忽职守、滥用职权、徇私舞弊的，对主管人员或直接责任人员予以行政处分，构成犯罪的，依法追究刑事责任。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0" w:afterLines="100" w:line="560" w:lineRule="exact"/>
        <w:ind w:firstLine="567"/>
        <w:jc w:val="both"/>
        <w:textAlignment w:val="auto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第二十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三</w:t>
      </w: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>条</w:t>
      </w:r>
      <w:r>
        <w:rPr>
          <w:rFonts w:hint="eastAsia"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楷体_GB2312" w:cs="Times New Roman"/>
          <w:bCs/>
          <w:snapToGrid/>
          <w:color w:val="00000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本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办法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自</w:t>
      </w:r>
      <w:r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2023年11月1日正式施行</w:t>
      </w:r>
      <w:r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3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</w:pBdr>
        <w:spacing w:line="440" w:lineRule="exact"/>
        <w:ind w:firstLine="0" w:firstLineChars="0"/>
        <w:jc w:val="both"/>
        <w:rPr>
          <w:rFonts w:hint="eastAsia" w:ascii="Times New Roman" w:hAnsi="Times New Roman" w:eastAsia="仿宋_GB2312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铜鼓县人民政府办公室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6" w:type="default"/>
      <w:pgSz w:w="11910" w:h="16840"/>
      <w:pgMar w:top="1431" w:right="1417" w:bottom="1156" w:left="1417" w:header="0" w:footer="97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5182235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8.05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PwSsjYAAAACwEAAA8AAAAAAAAAAQAgAAAAIgAAAGRycy9kb3ducmV2Lnht&#10;bFBLAQIUABQAAAAIAIdO4kC6jDgr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2ZhNDcwOTFiNjI4MDYzNWVkMzE2ZjU3MmJhMjJkMmUifQ=="/>
  </w:docVars>
  <w:rsids>
    <w:rsidRoot w:val="00000000"/>
    <w:rsid w:val="04934EFE"/>
    <w:rsid w:val="08102551"/>
    <w:rsid w:val="0A6B3014"/>
    <w:rsid w:val="0A984224"/>
    <w:rsid w:val="13B57102"/>
    <w:rsid w:val="1D360B63"/>
    <w:rsid w:val="26C35257"/>
    <w:rsid w:val="275C7918"/>
    <w:rsid w:val="2F844356"/>
    <w:rsid w:val="3A055154"/>
    <w:rsid w:val="3E331E8D"/>
    <w:rsid w:val="3F635B6A"/>
    <w:rsid w:val="46040FDA"/>
    <w:rsid w:val="4B983A53"/>
    <w:rsid w:val="5377EF40"/>
    <w:rsid w:val="5A864620"/>
    <w:rsid w:val="5DE3395E"/>
    <w:rsid w:val="719B4AB4"/>
    <w:rsid w:val="72623DA9"/>
    <w:rsid w:val="757F9070"/>
    <w:rsid w:val="75C212A6"/>
    <w:rsid w:val="F77F6B5E"/>
    <w:rsid w:val="FBFD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2232</Words>
  <Characters>2253</Characters>
  <TotalTime>1</TotalTime>
  <ScaleCrop>false</ScaleCrop>
  <LinksUpToDate>false</LinksUpToDate>
  <CharactersWithSpaces>2353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2023-04-22T03:30:00Z</dcterms:created>
  <dc:creator>Kingsoft-PDF</dc:creator>
  <cp:lastModifiedBy>铜鼓理想</cp:lastModifiedBy>
  <cp:lastPrinted>2023-06-20T11:30:00Z</cp:lastPrinted>
  <dcterms:modified xsi:type="dcterms:W3CDTF">2023-09-13T08:16:19Z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2023-04-21T11:30:10Z</vt:filetime>
  </property>
  <property fmtid="{D5CDD505-2E9C-101B-9397-08002B2CF9AE}" pid="4" name="UsrData">
    <vt:lpwstr>644203330d38b70015f6202e</vt:lpwstr>
  </property>
  <property fmtid="{D5CDD505-2E9C-101B-9397-08002B2CF9AE}" pid="5" name="KSOProductBuildVer">
    <vt:lpwstr>2052-11.1.0.14309</vt:lpwstr>
  </property>
  <property fmtid="{D5CDD505-2E9C-101B-9397-08002B2CF9AE}" pid="6" name="ICV">
    <vt:lpwstr>B80B61E0900342AE8C4E8C45BD410E2C_13</vt:lpwstr>
  </property>
</Properties>
</file>